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2B" w:rsidRPr="00E54CF5" w:rsidRDefault="008F7A2B" w:rsidP="00E54CF5">
      <w:pPr>
        <w:jc w:val="center"/>
        <w:rPr>
          <w:sz w:val="28"/>
          <w:szCs w:val="28"/>
        </w:rPr>
      </w:pPr>
      <w:r w:rsidRPr="00E54CF5">
        <w:rPr>
          <w:rFonts w:ascii="Times New Roman" w:hAnsi="Times New Roman" w:cs="Times New Roman"/>
          <w:sz w:val="28"/>
          <w:szCs w:val="28"/>
        </w:rPr>
        <w:t xml:space="preserve">График поставки  </w:t>
      </w:r>
      <w:r w:rsidR="00E54CF5" w:rsidRPr="00E54CF5">
        <w:rPr>
          <w:rFonts w:ascii="Times New Roman" w:hAnsi="Times New Roman" w:cs="Times New Roman"/>
          <w:sz w:val="28"/>
          <w:szCs w:val="28"/>
          <w:lang w:val="kk-KZ"/>
        </w:rPr>
        <w:t>специализированных медицинских изделий и специализированного лечебного  питания</w:t>
      </w:r>
      <w:r w:rsidR="00E54CF5" w:rsidRPr="00E54CF5">
        <w:rPr>
          <w:rFonts w:ascii="Times New Roman" w:hAnsi="Times New Roman" w:cs="Times New Roman"/>
          <w:sz w:val="28"/>
          <w:szCs w:val="28"/>
        </w:rPr>
        <w:t xml:space="preserve"> </w:t>
      </w:r>
      <w:r w:rsidRPr="00E54CF5">
        <w:rPr>
          <w:rFonts w:ascii="Times New Roman" w:hAnsi="Times New Roman" w:cs="Times New Roman"/>
          <w:sz w:val="28"/>
          <w:szCs w:val="28"/>
        </w:rPr>
        <w:t>на 2020 год</w:t>
      </w:r>
    </w:p>
    <w:tbl>
      <w:tblPr>
        <w:tblW w:w="0" w:type="auto"/>
        <w:tblInd w:w="94" w:type="dxa"/>
        <w:tblLayout w:type="fixed"/>
        <w:tblLook w:val="04A0"/>
      </w:tblPr>
      <w:tblGrid>
        <w:gridCol w:w="750"/>
        <w:gridCol w:w="7898"/>
        <w:gridCol w:w="580"/>
        <w:gridCol w:w="1172"/>
        <w:gridCol w:w="316"/>
        <w:gridCol w:w="316"/>
        <w:gridCol w:w="316"/>
        <w:gridCol w:w="316"/>
        <w:gridCol w:w="316"/>
        <w:gridCol w:w="316"/>
        <w:gridCol w:w="316"/>
        <w:gridCol w:w="316"/>
        <w:gridCol w:w="516"/>
        <w:gridCol w:w="416"/>
        <w:gridCol w:w="416"/>
        <w:gridCol w:w="416"/>
      </w:tblGrid>
      <w:tr w:rsidR="008F7A2B" w:rsidRPr="001F41C1" w:rsidTr="00E54CF5">
        <w:trPr>
          <w:trHeight w:val="40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Наименование 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Ед.</w:t>
            </w: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proofErr w:type="spellStart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изм</w:t>
            </w:r>
            <w:proofErr w:type="spellEnd"/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8F7A2B" w:rsidRPr="001F41C1" w:rsidTr="00E54CF5">
        <w:trPr>
          <w:trHeight w:val="75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кол-во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54CF5" w:rsidRPr="001F41C1" w:rsidTr="00E54CF5">
        <w:trPr>
          <w:trHeight w:val="13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PEHA-CREPР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бинт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фикс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л.б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4м*4см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1шт - Бинт фиксирующий, 4мх4 см, предназначен для фиксирующих повязок всех видов, в особенности на суставах, а также частях тела, имеющих коническую или округлую форму. Бинт из мягкой эластичной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крепированной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ткани с высоким содержанием натурального волокна; растяжимость не менее 160%; надежно закрепляется и не сползает; устойчив к кипячению и стерилизации (пар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134 °С). Не менее 41% хлопок, не менее 29% вискоза, не менее 30% полиамид. В упаковке 20 шт.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238,00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CF5" w:rsidRPr="001F41C1" w:rsidTr="00E54CF5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PEHA-CREPР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бинт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фикс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л.б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4м*10см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1шт - Бинт фиксирующий, 4мх10см, предназначен для фиксирующих повязок всех видов, в особенности на суставах, а также частях тела, имеющих коническую или округлую форму. Бинт из мягкой эластичной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крепированной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ткани с высоким содержанием натурального волокна; растяжимость не менее 160%; надежно закрепляется и не сползает; устойчив к кипячению и стерилизации (пар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134 °С). Не менее 41% хлопок, не менее 29% вискоза, не менее 30% полиамид. В упаковке 20 шт.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278,00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CF5" w:rsidRPr="001F41C1" w:rsidTr="00E54CF5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PEHA-CREPР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бинт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фикс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л.б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4м*12см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1шт - Бинт фиксирующий, 4мх12см, предназначен для фиксирующих повязок всех видов, в особенности на суставах, а также частях тела, имеющих коническую или округлую форму. Бинт из мягкой эластичной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крепированной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ткани с высоким содержанием натурального волокна; растяжимость не менее 160%; надежно закрепляется и не сползает; устойчив к кипячению и стерилизации (пар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134 °С). Не менее 41% хлопок, не менее 29% вискоза, не менее 30% полиамид. В упаковке 20 шт.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363,00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CF5" w:rsidRPr="001F41C1" w:rsidTr="00E54CF5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Peha-haft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самофиксир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инт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8см*20м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1шт - Бинт из хлопка и вискозы, идеально подходящий для закрепления любых повязок (на суставах, конечностях на голове) и для ухода за ранами любой степени тяжести.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Когезивный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фиксирующий бинт с двойным эффектом сцепления благодаря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крепированной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структуре ткани и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микроточеченой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пропитке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гипоалергенным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синтетическим клеем. Растяжимость 85%. Состав: 43% вискоза, 20% полиамид, 37% хлопок без латекса, 8см*20м. В упаковке 1шт.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6 420,00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Branolind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Бранолинд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10х20см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содержащая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фармпрепаратов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мазевая, сетчатая повязка проницаемая для влаги и экссудата, 10x20 см. Пропитана мазью с нейтральными показателями. Толстый слой мази не смывается  даже при сильной экссудации. Легко разрезается на лоскуты необходимых размеров. Повязка эффективна при длительном применении, не раздражает кожу. Обладает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гипоаллергенными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свойствами. Мазь содержит белый вазелин. В упаковке 30 шт.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MEDICOMP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Steril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Салфетка 10х20см; из нетканого материала марлевой структуры, предназначаются для общей обработки ран в качестве тампонов и повязок. Состоят из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вискозного волокна (не менее 70%) и полиэфира (не менее 30%). Не содержат отбеливатели. В конверте по 2 салфетки.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412,00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Mepilex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Mepilex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Гибкая абсорбирующая тонкая прокладки (технология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Safetac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из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пенополиуретана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 покрытая мягким силиконовым контактным слоем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Safetac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внешней пленкой, которая проницаема для испарений и непроницаема для воды </w:t>
            </w: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15см*15см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8830,00 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Mepilex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Mepilex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Transfer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Гибкая абсорбирующая тонкая прокладки  (технология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Safetac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из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пенополиуретана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 покрытая мягким силиконовым контактным слоем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Safetac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) и внешней пленкой, которая проницаема для испарений и непроницаема для воды 20см*50см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38 856,00 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Бинт-бандаж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Тубифаст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tubifast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), зеленый цвет 10 м, в упаковке 1 шт.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Эластичный, трубчатый бандаж</w:t>
            </w:r>
          </w:p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для фиксации повязок с технологией 2-х стороннего растяжения с цветовой индикацией зеленого цвета, 10 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7500,00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Эластичные перчатки для защиты и фиксации повязок с технологией 2-х стороннего растяжения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Chaild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(маленькие детские)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Ширина ладони 4,8см-5,8см, ширина растяжения 15,3см-18,3см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Перчатки белого цвета предназначены как для фиксации перевязочного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для технологии влажного и сухого обертывания в сочетании с мазями и гелями. Идеально подходят в качестве ежедневного дерматологического покрытия. 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Бесшовные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гипоаллергенные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 содержат латекс. 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Изготовлены из вискозы, полиамида и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эластана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Обеспечивают легкую эластичность за счет технологии 2-х стороннего растяжения.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Свойства: безопасно фиксируют повязку без компрессии, за счет эластичности материала не стесняют движения пациента. Легкая трикотажная структура из вискозы позволяет воздуху циркулировать к поверхности кожи, способствуя предотвращению мацерации.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 не требуют дополнительной фиксации.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7500,00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Октенисепт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250 мл,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антисептик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спрей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63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CF5" w:rsidRPr="001F41C1" w:rsidTr="00E54CF5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PediaSure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Малоежка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 ("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ПедиаШур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Малоежка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")     200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мл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Специализированное питание, 200мл. 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Состав: вода, сахароза,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мальтодекстрин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РАСТИТЕЛЬНЫЕ МАСЛА (соевое масло,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высокоолеиновое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подсолнечное масло, масло со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среднецепочечными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триглицеридами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(СЦТ)), концентрат молочного белка, какао порошок,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фруктоолигосахариды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(ФОС), МИНЕРАЛЫ (калия хлорид, калия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гидрофосфат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натрия цитрат,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трикальция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фосфат, магния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гидроортофосфат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железа сульфат, цинка сульфат, калия цитрат, марганца сульфат, меди сульфат, калия йодид, натрия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молибдат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хрома хлорид, натрия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соевого белка, белок гороха,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ароматизаторы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экстракт ванили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ванилин, ЭМУЛЬГАТОРЫ (моно- и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диглицериды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жирных кислот, соевый лецитин), холина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битартрат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 СТАБИЛИЗАТОР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ксантановая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камедь), ВИТАМИНЫ (аскорбиновая кислота,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ниацинамид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 витамин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кальция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пантотенат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тиамина гидрохлорид, рибофлавин, пиридоксина гидрохлорид, витамина А пальмитат,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фолиевая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биотин,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филлохинон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витамин D3,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мио-инозитол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таурин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докозагексаеновая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 (DHA) из  масла 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C.cohnii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арахидоновая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 (АA) из масла 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M.alpina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2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(вкус только ШОКОЛАД)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Бут.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7A2B" w:rsidRDefault="008F7A2B"/>
    <w:sectPr w:rsidR="008F7A2B" w:rsidSect="00E54C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1C1"/>
    <w:rsid w:val="000F0841"/>
    <w:rsid w:val="00166E9E"/>
    <w:rsid w:val="001F41C1"/>
    <w:rsid w:val="00230494"/>
    <w:rsid w:val="004129C7"/>
    <w:rsid w:val="0079312E"/>
    <w:rsid w:val="008603AD"/>
    <w:rsid w:val="008F7A2B"/>
    <w:rsid w:val="009166DA"/>
    <w:rsid w:val="00DE5AFD"/>
    <w:rsid w:val="00E54CF5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dcterms:created xsi:type="dcterms:W3CDTF">2020-09-16T06:27:00Z</dcterms:created>
  <dcterms:modified xsi:type="dcterms:W3CDTF">2020-09-16T06:27:00Z</dcterms:modified>
</cp:coreProperties>
</file>